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Статья 56. Целевое обучение</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Существенными условиями договора о целевом обучении являются:</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1) обязательства заказчика целевого обучения:</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а) по организации предоставления и (или</w:t>
      </w:r>
      <w:bookmarkStart w:id="0" w:name="_GoBack"/>
      <w:bookmarkEnd w:id="0"/>
      <w:r w:rsidRPr="003C0466">
        <w:rPr>
          <w:rFonts w:ascii="Times New Roman" w:hAnsi="Times New Roman" w:cs="Times New Roman"/>
          <w:sz w:val="24"/>
          <w:szCs w:val="24"/>
        </w:rPr>
        <w:t>)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2) обязательства гражданина, заключившего договор о целевом обучении: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 xml:space="preserve">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w:t>
      </w:r>
      <w:r w:rsidRPr="003C0466">
        <w:rPr>
          <w:rFonts w:ascii="Times New Roman" w:hAnsi="Times New Roman" w:cs="Times New Roman"/>
          <w:sz w:val="24"/>
          <w:szCs w:val="24"/>
        </w:rPr>
        <w:lastRenderedPageBreak/>
        <w:t>также по запросу заказчика целевого обучения предоставляет ему сведения о результатах освоения им образовательной программы.</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 xml:space="preserve"> </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Статья 71.1. Особенности приема на целевое обучение по образовательным программам высшего образования</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2) государственными и муниципальными учреждениями, унитарными предприятиями;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3) государственными корпорациями;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4) государственными компаниями;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8) дочерними хозяйственными обществами организаций, указанных в пунктах 4, 6 и 7 настоящей части;</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Установление квоты приема на целевое обучение, утверждение порядка и сроков ее установления осуществляются:</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1) Правительством Российской Федерации — за счет бюджетных ассигнований федерального бюджета;</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C0466" w:rsidRPr="003C0466" w:rsidRDefault="003C0466" w:rsidP="003C0466">
      <w:pPr>
        <w:rPr>
          <w:rFonts w:ascii="Times New Roman" w:hAnsi="Times New Roman" w:cs="Times New Roman"/>
          <w:sz w:val="24"/>
          <w:szCs w:val="24"/>
        </w:rPr>
      </w:pP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lastRenderedPageBreak/>
        <w:t>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C0466"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EB5F70" w:rsidRPr="003C0466" w:rsidRDefault="003C0466" w:rsidP="003C0466">
      <w:pPr>
        <w:rPr>
          <w:rFonts w:ascii="Times New Roman" w:hAnsi="Times New Roman" w:cs="Times New Roman"/>
          <w:sz w:val="24"/>
          <w:szCs w:val="24"/>
        </w:rPr>
      </w:pPr>
      <w:r w:rsidRPr="003C0466">
        <w:rPr>
          <w:rFonts w:ascii="Times New Roman" w:hAnsi="Times New Roman" w:cs="Times New Roman"/>
          <w:sz w:val="24"/>
          <w:szCs w:val="24"/>
        </w:rP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sectPr w:rsidR="00EB5F70" w:rsidRPr="003C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66"/>
    <w:rsid w:val="003C0466"/>
    <w:rsid w:val="00884CAC"/>
    <w:rsid w:val="008D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5EAA-A407-48FE-B9C3-8C39F68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BatlleMage</dc:creator>
  <cp:keywords/>
  <dc:description/>
  <cp:lastModifiedBy>BatlleMage</cp:lastModifiedBy>
  <cp:revision>1</cp:revision>
  <dcterms:created xsi:type="dcterms:W3CDTF">2019-03-25T08:42:00Z</dcterms:created>
  <dcterms:modified xsi:type="dcterms:W3CDTF">2019-03-25T08:44:00Z</dcterms:modified>
</cp:coreProperties>
</file>